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39FE" w14:textId="77777777" w:rsidR="00B73E4A" w:rsidRDefault="00734827" w:rsidP="00292194">
      <w:pPr>
        <w:pStyle w:val="berschrift1"/>
        <w:numPr>
          <w:ilvl w:val="0"/>
          <w:numId w:val="0"/>
        </w:numPr>
      </w:pPr>
      <w:bookmarkStart w:id="0" w:name="_Toc211106938"/>
      <w:r>
        <w:t>Lösungshinweise</w:t>
      </w:r>
      <w:bookmarkEnd w:id="0"/>
    </w:p>
    <w:p w14:paraId="63FB1BC3" w14:textId="77777777" w:rsidR="002F5887" w:rsidRDefault="002F5887" w:rsidP="00292194">
      <w:pPr>
        <w:pStyle w:val="berschrift2"/>
        <w:numPr>
          <w:ilvl w:val="0"/>
          <w:numId w:val="0"/>
        </w:numPr>
        <w:ind w:left="578" w:hanging="578"/>
      </w:pPr>
      <w:bookmarkStart w:id="1" w:name="_Toc211106939"/>
      <w:r>
        <w:t>Auftrag 1: Übersicht</w:t>
      </w:r>
      <w:bookmarkEnd w:id="1"/>
    </w:p>
    <w:p w14:paraId="3364FB01" w14:textId="77777777" w:rsidR="002F5887" w:rsidRDefault="002F5887" w:rsidP="00734827"/>
    <w:p w14:paraId="43FE362C" w14:textId="77777777" w:rsidR="00324F22" w:rsidRDefault="00324F22" w:rsidP="00734827">
      <w:r>
        <w:t>Schülerinnen- und schülerindividuelle Formulierung, z. B.:</w:t>
      </w:r>
    </w:p>
    <w:p w14:paraId="2CA17889" w14:textId="77777777" w:rsidR="00324F22" w:rsidRDefault="00324F22" w:rsidP="00734827"/>
    <w:p w14:paraId="4999EA79" w14:textId="77777777" w:rsidR="00734827" w:rsidRDefault="00734827" w:rsidP="007348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2927"/>
        <w:gridCol w:w="2924"/>
        <w:gridCol w:w="2784"/>
      </w:tblGrid>
      <w:tr w:rsidR="00324F22" w:rsidRPr="003506D2" w14:paraId="10D62673" w14:textId="77777777" w:rsidTr="00324F22"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50178" w14:textId="05E9432F" w:rsidR="00324F22" w:rsidRPr="003506D2" w:rsidRDefault="007C5836" w:rsidP="00F51D31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Rechte</w:t>
            </w:r>
            <w:r w:rsidR="00324F22">
              <w:rPr>
                <w:b/>
                <w:bCs/>
                <w:sz w:val="26"/>
                <w:szCs w:val="26"/>
              </w:rPr>
              <w:t xml:space="preserve"> des Betriebsrats</w:t>
            </w:r>
          </w:p>
        </w:tc>
      </w:tr>
      <w:tr w:rsidR="00324F22" w:rsidRPr="003506D2" w14:paraId="7AACD108" w14:textId="77777777" w:rsidTr="00324F22"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028DB2B1" w14:textId="77777777" w:rsidR="00324F22" w:rsidRPr="003506D2" w:rsidRDefault="00324F22" w:rsidP="00F51D31">
            <w:pPr>
              <w:spacing w:after="160" w:line="259" w:lineRule="auto"/>
              <w:jc w:val="both"/>
              <w:rPr>
                <w:szCs w:val="3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110CEA86" w14:textId="77777777" w:rsidR="00324F22" w:rsidRPr="003506D2" w:rsidRDefault="00324F22" w:rsidP="00F51D31">
            <w:pPr>
              <w:spacing w:after="160" w:line="259" w:lineRule="auto"/>
              <w:jc w:val="both"/>
              <w:rPr>
                <w:bCs/>
                <w:szCs w:val="26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CF54" w14:textId="77777777" w:rsidR="00324F22" w:rsidRPr="003506D2" w:rsidRDefault="00324F22" w:rsidP="00F51D31">
            <w:pPr>
              <w:spacing w:after="160" w:line="259" w:lineRule="auto"/>
              <w:jc w:val="both"/>
              <w:rPr>
                <w:bCs/>
                <w:szCs w:val="26"/>
              </w:rPr>
            </w:pPr>
          </w:p>
        </w:tc>
        <w:tc>
          <w:tcPr>
            <w:tcW w:w="2784" w:type="dxa"/>
            <w:vMerge w:val="restart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657A048" w14:textId="1C28FFA3" w:rsidR="00324F22" w:rsidRPr="003506D2" w:rsidRDefault="00324F22" w:rsidP="00F51D31">
            <w:pPr>
              <w:spacing w:line="259" w:lineRule="auto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>Mitbestimmung</w:t>
            </w:r>
            <w:r w:rsidR="007C5836">
              <w:rPr>
                <w:b/>
                <w:bCs/>
                <w:sz w:val="26"/>
                <w:szCs w:val="26"/>
              </w:rPr>
              <w:t>srecht</w:t>
            </w:r>
          </w:p>
        </w:tc>
      </w:tr>
      <w:tr w:rsidR="00324F22" w:rsidRPr="003506D2" w14:paraId="7B1025DF" w14:textId="77777777" w:rsidTr="00324F22"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2DC08CE" w14:textId="77777777" w:rsidR="00324F22" w:rsidRPr="003506D2" w:rsidRDefault="00324F22" w:rsidP="00F51D31">
            <w:pPr>
              <w:spacing w:after="160" w:line="259" w:lineRule="auto"/>
              <w:jc w:val="both"/>
              <w:rPr>
                <w:szCs w:val="3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AC10" w14:textId="77777777" w:rsidR="00324F22" w:rsidRPr="003506D2" w:rsidRDefault="00324F22" w:rsidP="00F51D31">
            <w:pPr>
              <w:spacing w:after="160" w:line="259" w:lineRule="auto"/>
              <w:jc w:val="both"/>
              <w:rPr>
                <w:bCs/>
                <w:szCs w:val="26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7CADC" w14:textId="5B0605FA" w:rsidR="00324F22" w:rsidRPr="003506D2" w:rsidRDefault="00324F22" w:rsidP="00F51D31">
            <w:pPr>
              <w:spacing w:line="259" w:lineRule="auto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>Mitwirkung</w:t>
            </w:r>
            <w:r w:rsidR="007C5836">
              <w:rPr>
                <w:b/>
                <w:bCs/>
                <w:sz w:val="26"/>
                <w:szCs w:val="26"/>
              </w:rPr>
              <w:t>srecht</w:t>
            </w:r>
          </w:p>
        </w:tc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E7E6E6"/>
          </w:tcPr>
          <w:p w14:paraId="32EE4D16" w14:textId="77777777" w:rsidR="00324F22" w:rsidRPr="003506D2" w:rsidRDefault="00324F22" w:rsidP="00F51D31">
            <w:pPr>
              <w:spacing w:after="160" w:line="259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324F22" w:rsidRPr="003506D2" w14:paraId="413F7D7A" w14:textId="77777777" w:rsidTr="00324F22">
        <w:trPr>
          <w:trHeight w:val="806"/>
        </w:trPr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D6E5" w14:textId="77777777" w:rsidR="00324F22" w:rsidRPr="003506D2" w:rsidRDefault="00324F22" w:rsidP="00F51D31">
            <w:pPr>
              <w:spacing w:after="160" w:line="259" w:lineRule="auto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05E4D7" w14:textId="294ADF19" w:rsidR="00324F22" w:rsidRPr="003506D2" w:rsidRDefault="00324F22" w:rsidP="00F51D31">
            <w:pPr>
              <w:spacing w:line="259" w:lineRule="auto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 xml:space="preserve">Informations- und </w:t>
            </w:r>
            <w:r w:rsidR="00EA68D2">
              <w:rPr>
                <w:b/>
                <w:bCs/>
                <w:sz w:val="26"/>
                <w:szCs w:val="26"/>
              </w:rPr>
              <w:br/>
            </w:r>
            <w:r w:rsidRPr="003506D2">
              <w:rPr>
                <w:b/>
                <w:bCs/>
                <w:sz w:val="26"/>
                <w:szCs w:val="26"/>
              </w:rPr>
              <w:t>Beratungsrecht</w:t>
            </w: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128B0D1" w14:textId="77777777" w:rsidR="00324F22" w:rsidRPr="003506D2" w:rsidRDefault="00324F22" w:rsidP="00F51D31">
            <w:pPr>
              <w:spacing w:after="160" w:line="259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41144247" w14:textId="77777777" w:rsidR="00324F22" w:rsidRPr="003506D2" w:rsidRDefault="00324F22" w:rsidP="00F51D31">
            <w:pPr>
              <w:spacing w:after="160" w:line="259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324F22" w:rsidRPr="003506D2" w14:paraId="5C6D29FF" w14:textId="77777777" w:rsidTr="00324F22">
        <w:trPr>
          <w:cantSplit/>
          <w:trHeight w:val="5950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E7E6E6"/>
            <w:textDirection w:val="btLr"/>
            <w:vAlign w:val="center"/>
          </w:tcPr>
          <w:p w14:paraId="3BBD8970" w14:textId="77777777" w:rsidR="00324F22" w:rsidRPr="003506D2" w:rsidRDefault="00324F22" w:rsidP="00F51D31">
            <w:pPr>
              <w:spacing w:line="259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>Beschreibung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14:paraId="714E588A" w14:textId="77777777" w:rsidR="00324F22" w:rsidRP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65A79194" w14:textId="38C5C23F" w:rsidR="00324F22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 xml:space="preserve">Das Informations- und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>Beratungsrecht bedeutet, dass in wirtschaftlichen Angelegenheiten der Betriebsrat über geplante Änd</w:t>
            </w:r>
            <w:r>
              <w:rPr>
                <w:i/>
                <w:color w:val="0066FF"/>
              </w:rPr>
              <w:t>erungen informiert werden muss.</w:t>
            </w:r>
          </w:p>
          <w:p w14:paraId="6888C6E3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6242D06C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Der Betriebsrat hat das Recht sich dazu zu äußern und d</w:t>
            </w:r>
            <w:r>
              <w:rPr>
                <w:i/>
                <w:color w:val="0066FF"/>
              </w:rPr>
              <w:t>ie Geschäftsführung zu beraten.</w:t>
            </w:r>
          </w:p>
          <w:p w14:paraId="3842B6E5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726F4C1A" w14:textId="15B9CDDF" w:rsidR="00324F22" w:rsidRPr="000527B9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 xml:space="preserve">Entscheidungen können aber ohne Zustimmung des Betriebsrates von der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>Geschäftsführung getroffen werden.</w:t>
            </w:r>
          </w:p>
        </w:tc>
        <w:tc>
          <w:tcPr>
            <w:tcW w:w="2924" w:type="dxa"/>
          </w:tcPr>
          <w:p w14:paraId="32C76447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265EC1C0" w14:textId="542B9BF8" w:rsidR="00324F22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 xml:space="preserve">Der Betriebsrat hat ein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 xml:space="preserve">Mitwirkungsrecht in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 xml:space="preserve">personellen Angelegenheiten wie Einstellungen,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 xml:space="preserve">Versetzungen und Entlassungen. </w:t>
            </w:r>
          </w:p>
          <w:p w14:paraId="1C3BA0F1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369A0E40" w14:textId="77777777" w:rsidR="00324F22" w:rsidRPr="000527B9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Er kann die Zustimmung verweigern, wenn wichtige Gründe vorliegen, um die Interessen der Beschäftigten in Personalentscheidungen zu wahren.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14:paraId="4F2178C7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522347BA" w14:textId="57F79B40" w:rsidR="00324F22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 xml:space="preserve">In sozialen Angelegenheiten wie Urlaubsplanung, Arbeitszeit, sozialen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 xml:space="preserve">Einrichtungen und Entlohnung ist der Betriebsrat gleichberechtigter </w:t>
            </w:r>
            <w:r w:rsidR="00EA68D2">
              <w:rPr>
                <w:i/>
                <w:color w:val="0066FF"/>
              </w:rPr>
              <w:br/>
            </w:r>
            <w:r w:rsidRPr="00324F22">
              <w:rPr>
                <w:i/>
                <w:color w:val="0066FF"/>
              </w:rPr>
              <w:t xml:space="preserve">Verhandlungspartner der Geschäftsführung. </w:t>
            </w:r>
          </w:p>
          <w:p w14:paraId="2E8397D1" w14:textId="77777777" w:rsid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09640053" w14:textId="77777777" w:rsidR="00324F22" w:rsidRPr="00324F22" w:rsidRDefault="00324F22" w:rsidP="00324F22">
            <w:pPr>
              <w:pStyle w:val="1Text1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Ohne seine Zustimmung können keine betrieblichen Einigungen erzielt werde</w:t>
            </w:r>
            <w:r>
              <w:rPr>
                <w:i/>
                <w:color w:val="0066FF"/>
              </w:rPr>
              <w:t>n</w:t>
            </w:r>
            <w:r w:rsidRPr="00324F22">
              <w:rPr>
                <w:i/>
                <w:color w:val="0066FF"/>
              </w:rPr>
              <w:t>.</w:t>
            </w:r>
          </w:p>
        </w:tc>
      </w:tr>
      <w:tr w:rsidR="00324F22" w:rsidRPr="003506D2" w14:paraId="1E3636B4" w14:textId="77777777" w:rsidTr="00324F22">
        <w:trPr>
          <w:cantSplit/>
          <w:trHeight w:val="1547"/>
        </w:trPr>
        <w:tc>
          <w:tcPr>
            <w:tcW w:w="896" w:type="dxa"/>
            <w:shd w:val="clear" w:color="auto" w:fill="E7E6E6"/>
            <w:textDirection w:val="btLr"/>
            <w:vAlign w:val="center"/>
          </w:tcPr>
          <w:p w14:paraId="62F0FE2A" w14:textId="77777777" w:rsidR="00324F22" w:rsidRPr="003506D2" w:rsidRDefault="00324F22" w:rsidP="00324F22">
            <w:pPr>
              <w:spacing w:line="259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>Beispiele</w:t>
            </w:r>
          </w:p>
        </w:tc>
        <w:tc>
          <w:tcPr>
            <w:tcW w:w="2927" w:type="dxa"/>
          </w:tcPr>
          <w:p w14:paraId="52538BFD" w14:textId="77777777" w:rsidR="00324F22" w:rsidRP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6A2E56FA" w14:textId="77777777" w:rsidR="00324F22" w:rsidRPr="00324F22" w:rsidRDefault="00324F22" w:rsidP="003913CE">
            <w:pPr>
              <w:pStyle w:val="1Text1"/>
              <w:numPr>
                <w:ilvl w:val="0"/>
                <w:numId w:val="12"/>
              </w:numPr>
              <w:ind w:left="309" w:hanging="309"/>
              <w:rPr>
                <w:i/>
                <w:color w:val="0066FF"/>
              </w:rPr>
            </w:pPr>
            <w:r>
              <w:rPr>
                <w:i/>
                <w:color w:val="0066FF"/>
              </w:rPr>
              <w:t>Neubau</w:t>
            </w:r>
          </w:p>
          <w:p w14:paraId="0ECBAE82" w14:textId="77777777" w:rsidR="00324F22" w:rsidRPr="00324F22" w:rsidRDefault="00324F22" w:rsidP="003913CE">
            <w:pPr>
              <w:pStyle w:val="1Text1"/>
              <w:numPr>
                <w:ilvl w:val="0"/>
                <w:numId w:val="12"/>
              </w:numPr>
              <w:ind w:left="309" w:hanging="309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Lieferantenwechsel</w:t>
            </w:r>
          </w:p>
        </w:tc>
        <w:tc>
          <w:tcPr>
            <w:tcW w:w="2924" w:type="dxa"/>
          </w:tcPr>
          <w:p w14:paraId="36F2641B" w14:textId="77777777" w:rsidR="00324F22" w:rsidRP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0BF7201A" w14:textId="77777777" w:rsidR="00324F22" w:rsidRPr="00324F22" w:rsidRDefault="00324F22" w:rsidP="003913CE">
            <w:pPr>
              <w:pStyle w:val="1Text1"/>
              <w:numPr>
                <w:ilvl w:val="0"/>
                <w:numId w:val="12"/>
              </w:numPr>
              <w:ind w:left="209" w:hanging="209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Versetzungen</w:t>
            </w:r>
          </w:p>
        </w:tc>
        <w:tc>
          <w:tcPr>
            <w:tcW w:w="2784" w:type="dxa"/>
          </w:tcPr>
          <w:p w14:paraId="22973314" w14:textId="77777777" w:rsidR="00324F22" w:rsidRPr="00324F22" w:rsidRDefault="00324F22" w:rsidP="00324F22">
            <w:pPr>
              <w:pStyle w:val="1Text1"/>
              <w:rPr>
                <w:i/>
                <w:color w:val="0066FF"/>
              </w:rPr>
            </w:pPr>
          </w:p>
          <w:p w14:paraId="1D8F517F" w14:textId="77777777" w:rsidR="00324F22" w:rsidRPr="00324F22" w:rsidRDefault="00324F22" w:rsidP="003913CE">
            <w:pPr>
              <w:pStyle w:val="1Text1"/>
              <w:numPr>
                <w:ilvl w:val="0"/>
                <w:numId w:val="12"/>
              </w:numPr>
              <w:ind w:left="268" w:hanging="284"/>
              <w:rPr>
                <w:i/>
                <w:color w:val="0066FF"/>
              </w:rPr>
            </w:pPr>
            <w:r w:rsidRPr="00324F22">
              <w:rPr>
                <w:i/>
                <w:color w:val="0066FF"/>
              </w:rPr>
              <w:t>Kamera im Pausenraum</w:t>
            </w:r>
          </w:p>
        </w:tc>
      </w:tr>
      <w:tr w:rsidR="00324F22" w:rsidRPr="003506D2" w14:paraId="3E21FCD7" w14:textId="77777777" w:rsidTr="00324F22">
        <w:trPr>
          <w:cantSplit/>
          <w:trHeight w:val="1337"/>
        </w:trPr>
        <w:tc>
          <w:tcPr>
            <w:tcW w:w="896" w:type="dxa"/>
            <w:shd w:val="clear" w:color="auto" w:fill="E7E6E6"/>
            <w:textDirection w:val="btLr"/>
            <w:vAlign w:val="center"/>
          </w:tcPr>
          <w:p w14:paraId="20DD4865" w14:textId="77777777" w:rsidR="00324F22" w:rsidRPr="003506D2" w:rsidRDefault="00324F22" w:rsidP="00F51D31">
            <w:pPr>
              <w:spacing w:line="259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3506D2">
              <w:rPr>
                <w:b/>
                <w:bCs/>
                <w:sz w:val="26"/>
                <w:szCs w:val="26"/>
              </w:rPr>
              <w:t>Bereich</w:t>
            </w:r>
          </w:p>
        </w:tc>
        <w:tc>
          <w:tcPr>
            <w:tcW w:w="2927" w:type="dxa"/>
            <w:vAlign w:val="center"/>
          </w:tcPr>
          <w:p w14:paraId="642F1C96" w14:textId="77777777" w:rsidR="00324F22" w:rsidRPr="003506D2" w:rsidRDefault="00324F22" w:rsidP="00EA68D2">
            <w:pPr>
              <w:spacing w:line="259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</w:t>
            </w:r>
            <w:r w:rsidRPr="003506D2">
              <w:rPr>
                <w:b/>
                <w:bCs/>
                <w:szCs w:val="22"/>
              </w:rPr>
              <w:t>irtschaftlicher Bereich</w:t>
            </w:r>
          </w:p>
        </w:tc>
        <w:tc>
          <w:tcPr>
            <w:tcW w:w="2924" w:type="dxa"/>
            <w:vAlign w:val="center"/>
          </w:tcPr>
          <w:p w14:paraId="7E6894C8" w14:textId="77777777" w:rsidR="00324F22" w:rsidRPr="003506D2" w:rsidRDefault="00324F22" w:rsidP="00EA68D2">
            <w:pPr>
              <w:spacing w:line="259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3506D2">
              <w:rPr>
                <w:b/>
                <w:bCs/>
                <w:szCs w:val="22"/>
              </w:rPr>
              <w:t>ersoneller Bereich</w:t>
            </w:r>
          </w:p>
        </w:tc>
        <w:tc>
          <w:tcPr>
            <w:tcW w:w="2784" w:type="dxa"/>
            <w:vAlign w:val="center"/>
          </w:tcPr>
          <w:p w14:paraId="0D20CB40" w14:textId="77777777" w:rsidR="00324F22" w:rsidRPr="003506D2" w:rsidRDefault="00324F22" w:rsidP="00EA68D2">
            <w:pPr>
              <w:spacing w:line="259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</w:t>
            </w:r>
            <w:r w:rsidRPr="003506D2">
              <w:rPr>
                <w:b/>
                <w:bCs/>
                <w:szCs w:val="22"/>
              </w:rPr>
              <w:t>ozialer Bereich</w:t>
            </w:r>
          </w:p>
        </w:tc>
      </w:tr>
    </w:tbl>
    <w:p w14:paraId="38ED8C7D" w14:textId="77777777" w:rsidR="002540EB" w:rsidRDefault="002540EB">
      <w:pPr>
        <w:spacing w:line="276" w:lineRule="auto"/>
      </w:pPr>
      <w:r>
        <w:br w:type="page"/>
      </w:r>
    </w:p>
    <w:p w14:paraId="0C335CB9" w14:textId="77777777" w:rsidR="002F5887" w:rsidRDefault="002F5887" w:rsidP="002F5887">
      <w:pPr>
        <w:pStyle w:val="berschrift2"/>
      </w:pPr>
      <w:bookmarkStart w:id="2" w:name="_Toc211106940"/>
      <w:r>
        <w:lastRenderedPageBreak/>
        <w:t>Auftrag 2: Gespräch</w:t>
      </w:r>
      <w:bookmarkEnd w:id="2"/>
    </w:p>
    <w:p w14:paraId="2978D95C" w14:textId="77777777" w:rsidR="002F5887" w:rsidRDefault="002F5887" w:rsidP="002F5887"/>
    <w:p w14:paraId="1C376216" w14:textId="77777777" w:rsidR="002F5887" w:rsidRPr="002F5887" w:rsidRDefault="002F5887" w:rsidP="002F5887">
      <w:r>
        <w:t>Schülerinnen- und schülerindividuelle Durchführung des Gesprächs.</w:t>
      </w:r>
    </w:p>
    <w:p w14:paraId="13BA9A4C" w14:textId="77777777" w:rsidR="002F5887" w:rsidRDefault="002F5887">
      <w:pPr>
        <w:spacing w:line="276" w:lineRule="auto"/>
      </w:pPr>
    </w:p>
    <w:sectPr w:rsidR="002F5887" w:rsidSect="00292194">
      <w:pgSz w:w="11906" w:h="16838" w:code="9"/>
      <w:pgMar w:top="1021" w:right="102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C4F7" w14:textId="77777777" w:rsidR="00D4129A" w:rsidRDefault="00D4129A" w:rsidP="001E03DE">
      <w:r>
        <w:separator/>
      </w:r>
    </w:p>
  </w:endnote>
  <w:endnote w:type="continuationSeparator" w:id="0">
    <w:p w14:paraId="45A61591" w14:textId="77777777" w:rsidR="00D4129A" w:rsidRDefault="00D4129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418D" w14:textId="77777777" w:rsidR="00D4129A" w:rsidRDefault="00D4129A" w:rsidP="001E03DE">
      <w:r>
        <w:separator/>
      </w:r>
    </w:p>
  </w:footnote>
  <w:footnote w:type="continuationSeparator" w:id="0">
    <w:p w14:paraId="10AFFA68" w14:textId="77777777" w:rsidR="00D4129A" w:rsidRDefault="00D4129A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BF362DE"/>
    <w:multiLevelType w:val="hybridMultilevel"/>
    <w:tmpl w:val="D37A755A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1DAA"/>
    <w:multiLevelType w:val="hybridMultilevel"/>
    <w:tmpl w:val="FB34BD38"/>
    <w:lvl w:ilvl="0" w:tplc="2166A3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52756"/>
    <w:multiLevelType w:val="hybridMultilevel"/>
    <w:tmpl w:val="65388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3CB1"/>
    <w:multiLevelType w:val="hybridMultilevel"/>
    <w:tmpl w:val="AB6E3A66"/>
    <w:lvl w:ilvl="0" w:tplc="B76E77A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F1423E4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14CF"/>
    <w:multiLevelType w:val="hybridMultilevel"/>
    <w:tmpl w:val="F230BBD8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6B9038AB"/>
    <w:multiLevelType w:val="hybridMultilevel"/>
    <w:tmpl w:val="7994C8FA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5751">
    <w:abstractNumId w:val="10"/>
  </w:num>
  <w:num w:numId="2" w16cid:durableId="118498815">
    <w:abstractNumId w:val="10"/>
  </w:num>
  <w:num w:numId="3" w16cid:durableId="1151289785">
    <w:abstractNumId w:val="10"/>
  </w:num>
  <w:num w:numId="4" w16cid:durableId="1463621234">
    <w:abstractNumId w:val="10"/>
  </w:num>
  <w:num w:numId="5" w16cid:durableId="1065029313">
    <w:abstractNumId w:val="13"/>
  </w:num>
  <w:num w:numId="6" w16cid:durableId="104472444">
    <w:abstractNumId w:val="2"/>
  </w:num>
  <w:num w:numId="7" w16cid:durableId="2047562772">
    <w:abstractNumId w:val="8"/>
  </w:num>
  <w:num w:numId="8" w16cid:durableId="1370301064">
    <w:abstractNumId w:val="8"/>
  </w:num>
  <w:num w:numId="9" w16cid:durableId="1782872908">
    <w:abstractNumId w:val="9"/>
  </w:num>
  <w:num w:numId="10" w16cid:durableId="773399894">
    <w:abstractNumId w:val="0"/>
  </w:num>
  <w:num w:numId="11" w16cid:durableId="1914460966">
    <w:abstractNumId w:val="6"/>
  </w:num>
  <w:num w:numId="12" w16cid:durableId="1448963337">
    <w:abstractNumId w:val="11"/>
  </w:num>
  <w:num w:numId="13" w16cid:durableId="735904708">
    <w:abstractNumId w:val="7"/>
  </w:num>
  <w:num w:numId="14" w16cid:durableId="1212766842">
    <w:abstractNumId w:val="12"/>
  </w:num>
  <w:num w:numId="15" w16cid:durableId="310402346">
    <w:abstractNumId w:val="4"/>
  </w:num>
  <w:num w:numId="16" w16cid:durableId="869075842">
    <w:abstractNumId w:val="5"/>
  </w:num>
  <w:num w:numId="17" w16cid:durableId="929974502">
    <w:abstractNumId w:val="1"/>
  </w:num>
  <w:num w:numId="18" w16cid:durableId="67076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04AB4"/>
    <w:rsid w:val="00022FE0"/>
    <w:rsid w:val="000527B9"/>
    <w:rsid w:val="000545D6"/>
    <w:rsid w:val="0007316C"/>
    <w:rsid w:val="00093B3F"/>
    <w:rsid w:val="00095B40"/>
    <w:rsid w:val="00103E2A"/>
    <w:rsid w:val="00155714"/>
    <w:rsid w:val="00194ABB"/>
    <w:rsid w:val="001A2103"/>
    <w:rsid w:val="001C1D2C"/>
    <w:rsid w:val="001E03DE"/>
    <w:rsid w:val="001E765B"/>
    <w:rsid w:val="00202FDB"/>
    <w:rsid w:val="002223B8"/>
    <w:rsid w:val="002242E9"/>
    <w:rsid w:val="002540EB"/>
    <w:rsid w:val="00260C7F"/>
    <w:rsid w:val="00292194"/>
    <w:rsid w:val="00296589"/>
    <w:rsid w:val="002F5887"/>
    <w:rsid w:val="003027D3"/>
    <w:rsid w:val="003168BD"/>
    <w:rsid w:val="00317948"/>
    <w:rsid w:val="00324F22"/>
    <w:rsid w:val="003472F2"/>
    <w:rsid w:val="003913CE"/>
    <w:rsid w:val="00397FB4"/>
    <w:rsid w:val="003C6AFC"/>
    <w:rsid w:val="0044650F"/>
    <w:rsid w:val="004D0791"/>
    <w:rsid w:val="004E2D37"/>
    <w:rsid w:val="00500B0D"/>
    <w:rsid w:val="00614EB4"/>
    <w:rsid w:val="00623294"/>
    <w:rsid w:val="00664BE9"/>
    <w:rsid w:val="006C3178"/>
    <w:rsid w:val="006D7D0E"/>
    <w:rsid w:val="006E0EE8"/>
    <w:rsid w:val="006E459A"/>
    <w:rsid w:val="00711601"/>
    <w:rsid w:val="00734827"/>
    <w:rsid w:val="00753C08"/>
    <w:rsid w:val="00764A1C"/>
    <w:rsid w:val="007776E4"/>
    <w:rsid w:val="00796FBC"/>
    <w:rsid w:val="007A0CBE"/>
    <w:rsid w:val="007B0923"/>
    <w:rsid w:val="007C5836"/>
    <w:rsid w:val="007D6CAB"/>
    <w:rsid w:val="00880E86"/>
    <w:rsid w:val="008A7911"/>
    <w:rsid w:val="008C2A8F"/>
    <w:rsid w:val="009105B7"/>
    <w:rsid w:val="009533B3"/>
    <w:rsid w:val="00961957"/>
    <w:rsid w:val="009835D4"/>
    <w:rsid w:val="009935DA"/>
    <w:rsid w:val="009C05F9"/>
    <w:rsid w:val="00A343CD"/>
    <w:rsid w:val="00A61BDD"/>
    <w:rsid w:val="00A66395"/>
    <w:rsid w:val="00A85EE6"/>
    <w:rsid w:val="00AA52A6"/>
    <w:rsid w:val="00AD6663"/>
    <w:rsid w:val="00B021BC"/>
    <w:rsid w:val="00B149DD"/>
    <w:rsid w:val="00B22E5F"/>
    <w:rsid w:val="00B33779"/>
    <w:rsid w:val="00B519CE"/>
    <w:rsid w:val="00B73E4A"/>
    <w:rsid w:val="00BA7FD4"/>
    <w:rsid w:val="00BB620B"/>
    <w:rsid w:val="00C22DA6"/>
    <w:rsid w:val="00C26823"/>
    <w:rsid w:val="00CD0DFA"/>
    <w:rsid w:val="00CD6932"/>
    <w:rsid w:val="00CF5127"/>
    <w:rsid w:val="00D4129A"/>
    <w:rsid w:val="00D41E19"/>
    <w:rsid w:val="00D83C13"/>
    <w:rsid w:val="00DD3251"/>
    <w:rsid w:val="00DD3745"/>
    <w:rsid w:val="00DD6332"/>
    <w:rsid w:val="00DE6DAD"/>
    <w:rsid w:val="00E44C87"/>
    <w:rsid w:val="00EA0CC3"/>
    <w:rsid w:val="00EA68D2"/>
    <w:rsid w:val="00EB6E49"/>
    <w:rsid w:val="00EF52E5"/>
    <w:rsid w:val="00F32933"/>
    <w:rsid w:val="00F44A67"/>
    <w:rsid w:val="00F51D31"/>
    <w:rsid w:val="00FA00C2"/>
    <w:rsid w:val="00FB2E2D"/>
    <w:rsid w:val="00FC299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E2D7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F51D31"/>
    <w:pPr>
      <w:ind w:left="720"/>
      <w:contextualSpacing/>
    </w:pPr>
  </w:style>
  <w:style w:type="table" w:customStyle="1" w:styleId="Tabellenraster9">
    <w:name w:val="Tabellenraster9"/>
    <w:basedOn w:val="NormaleTabelle"/>
    <w:next w:val="Tabellenraster"/>
    <w:uiPriority w:val="59"/>
    <w:rsid w:val="00CD0DFA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CD0D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egelstrich-Arial">
    <w:name w:val="Spiegelstrich-Arial"/>
    <w:basedOn w:val="Standard"/>
    <w:link w:val="Spiegelstrich-ArialZchn"/>
    <w:uiPriority w:val="99"/>
    <w:rsid w:val="00EA68D2"/>
    <w:pPr>
      <w:numPr>
        <w:numId w:val="14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EA68D2"/>
    <w:rPr>
      <w:rFonts w:ascii="Arial" w:eastAsia="Times New Roman" w:hAnsi="Arial"/>
      <w:sz w:val="20"/>
      <w:szCs w:val="20"/>
    </w:rPr>
  </w:style>
  <w:style w:type="paragraph" w:customStyle="1" w:styleId="09aZAKopfmini">
    <w:name w:val="09aZA_Kopf_mini"/>
    <w:basedOn w:val="Standard"/>
    <w:rsid w:val="00EA68D2"/>
    <w:pPr>
      <w:tabs>
        <w:tab w:val="left" w:pos="198"/>
        <w:tab w:val="left" w:pos="2268"/>
      </w:tabs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EA68D2"/>
    <w:pPr>
      <w:tabs>
        <w:tab w:val="left" w:pos="198"/>
        <w:tab w:val="left" w:pos="2268"/>
      </w:tabs>
    </w:pPr>
    <w:rPr>
      <w:rFonts w:eastAsia="Times New Roman"/>
      <w:b/>
      <w:color w:val="FF0000"/>
      <w:sz w:val="28"/>
      <w:szCs w:val="28"/>
    </w:rPr>
  </w:style>
  <w:style w:type="paragraph" w:customStyle="1" w:styleId="11bZAStand">
    <w:name w:val="11bZA_Stand"/>
    <w:basedOn w:val="Standard"/>
    <w:qFormat/>
    <w:rsid w:val="00EA68D2"/>
    <w:pPr>
      <w:tabs>
        <w:tab w:val="left" w:pos="198"/>
        <w:tab w:val="left" w:pos="2268"/>
      </w:tabs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EA68D2"/>
    <w:pPr>
      <w:tabs>
        <w:tab w:val="left" w:pos="198"/>
        <w:tab w:val="left" w:pos="2268"/>
      </w:tabs>
      <w:jc w:val="center"/>
    </w:pPr>
    <w:rPr>
      <w:rFonts w:eastAsia="Times New Roman"/>
      <w:b/>
      <w:sz w:val="24"/>
    </w:rPr>
  </w:style>
  <w:style w:type="paragraph" w:customStyle="1" w:styleId="08aZATabKopflinks">
    <w:name w:val="08aZA_TabKopf_links"/>
    <w:basedOn w:val="Standard"/>
    <w:qFormat/>
    <w:rsid w:val="00EA68D2"/>
    <w:pPr>
      <w:tabs>
        <w:tab w:val="left" w:pos="198"/>
        <w:tab w:val="left" w:pos="2268"/>
      </w:tabs>
    </w:pPr>
    <w:rPr>
      <w:rFonts w:eastAsia="Times New Roman"/>
      <w:b/>
      <w:sz w:val="24"/>
    </w:rPr>
  </w:style>
  <w:style w:type="paragraph" w:customStyle="1" w:styleId="TextAuftrge">
    <w:name w:val="Text Aufträge"/>
    <w:basedOn w:val="Standard"/>
    <w:link w:val="TextAuftrgeZchn"/>
    <w:qFormat/>
    <w:rsid w:val="00EA68D2"/>
    <w:pPr>
      <w:tabs>
        <w:tab w:val="left" w:pos="198"/>
        <w:tab w:val="num" w:pos="360"/>
        <w:tab w:val="left" w:pos="2268"/>
      </w:tabs>
      <w:spacing w:before="318" w:after="91" w:line="295" w:lineRule="exact"/>
      <w:ind w:left="227" w:hanging="227"/>
      <w:jc w:val="both"/>
    </w:pPr>
    <w:rPr>
      <w:rFonts w:eastAsia="Times New Roman" w:cs="Times New Roman"/>
      <w:color w:val="000000" w:themeColor="text1"/>
      <w:sz w:val="20"/>
      <w:szCs w:val="20"/>
    </w:rPr>
  </w:style>
  <w:style w:type="character" w:customStyle="1" w:styleId="TextAuftrgeZchn">
    <w:name w:val="Text Aufträge Zchn"/>
    <w:basedOn w:val="Absatz-Standardschriftart"/>
    <w:link w:val="TextAuftrge"/>
    <w:rsid w:val="00EA68D2"/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01aZAnummeriert">
    <w:name w:val="01aZA_nummeriert"/>
    <w:basedOn w:val="Standard"/>
    <w:qFormat/>
    <w:rsid w:val="00EA68D2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EA68D2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EA68D2"/>
    <w:pPr>
      <w:jc w:val="center"/>
    </w:pPr>
  </w:style>
  <w:style w:type="paragraph" w:customStyle="1" w:styleId="04bZAzentriertfett">
    <w:name w:val="04bZA_zentriert_fett"/>
    <w:basedOn w:val="04aZAzentriert"/>
    <w:qFormat/>
    <w:rsid w:val="00EA68D2"/>
    <w:rPr>
      <w:b/>
    </w:rPr>
  </w:style>
  <w:style w:type="paragraph" w:customStyle="1" w:styleId="02ZAfett">
    <w:name w:val="02_ZA_fett"/>
    <w:basedOn w:val="00ZATabellentext"/>
    <w:qFormat/>
    <w:rsid w:val="00EA68D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3C4B-6786-41B1-A485-70FC687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1184</Characters>
  <DocSecurity>0</DocSecurity>
  <Lines>91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2026-04-09T12:39:00Z</cp:lastPrinted>
  <dcterms:created xsi:type="dcterms:W3CDTF">2025-08-08T05:22:00Z</dcterms:created>
  <dcterms:modified xsi:type="dcterms:W3CDTF">2026-05-01T09:30:00Z</dcterms:modified>
</cp:coreProperties>
</file>