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9A" w:rsidRDefault="006466C2" w:rsidP="00EC5C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w:pict>
          <v:group id="Gruppieren 8" o:spid="_x0000_s1026" style="position:absolute;margin-left:368pt;margin-top:-43.25pt;width:124.4pt;height:61.8pt;z-index:251658240;mso-position-horizontal-relative:margin;mso-width-relative:margin" coordorigin="-1206" coordsize="11674,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left:-1206;top:1464;width:9053;height:3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<v:textbox>
                <w:txbxContent>
                  <w:p w:rsidR="00111097" w:rsidRPr="001A0B3C" w:rsidRDefault="00111097" w:rsidP="00111097">
                    <w:pPr>
                      <w:rPr>
                        <w:b/>
                        <w:sz w:val="40"/>
                      </w:rPr>
                    </w:pPr>
                    <w:r w:rsidRPr="001A0B3C">
                      <w:rPr>
                        <w:rFonts w:ascii="Cavolini" w:eastAsia="Times New Roman" w:hAnsi="Cavolini" w:cs="Cavolini"/>
                        <w:b/>
                        <w:sz w:val="32"/>
                      </w:rPr>
                      <w:t>Saleno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218116833" o:spid="_x0000_s1028" type="#_x0000_t75" style="position:absolute;left:6124;width:4344;height:4343;rotation:-10773903fd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">
              <v:imagedata r:id="rId7" o:title=""/>
            </v:shape>
            <w10:wrap anchorx="margin"/>
          </v:group>
        </w:pict>
      </w:r>
    </w:p>
    <w:p w:rsidR="007B760B" w:rsidRDefault="007B760B" w:rsidP="00EC5C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3768B" w:rsidRPr="00000D9A" w:rsidRDefault="0033768B" w:rsidP="00EC5C6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00D9A">
        <w:rPr>
          <w:rFonts w:ascii="Arial" w:hAnsi="Arial" w:cs="Arial"/>
          <w:b/>
          <w:sz w:val="28"/>
          <w:szCs w:val="28"/>
        </w:rPr>
        <w:t>Übung zur Berechnung de</w:t>
      </w:r>
      <w:r w:rsidR="001650BF" w:rsidRPr="00000D9A">
        <w:rPr>
          <w:rFonts w:ascii="Arial" w:hAnsi="Arial" w:cs="Arial"/>
          <w:b/>
          <w:sz w:val="28"/>
          <w:szCs w:val="28"/>
        </w:rPr>
        <w:t xml:space="preserve">r </w:t>
      </w:r>
      <w:r w:rsidR="003D2B9A" w:rsidRPr="00000D9A">
        <w:rPr>
          <w:rFonts w:ascii="Arial" w:hAnsi="Arial" w:cs="Arial"/>
          <w:b/>
          <w:sz w:val="28"/>
          <w:szCs w:val="28"/>
        </w:rPr>
        <w:t>Monats- und Tageszinsen</w:t>
      </w:r>
      <w:r w:rsidR="00C55733" w:rsidRPr="00000D9A">
        <w:rPr>
          <w:rFonts w:ascii="Arial" w:hAnsi="Arial" w:cs="Arial"/>
          <w:b/>
          <w:sz w:val="28"/>
          <w:szCs w:val="28"/>
        </w:rPr>
        <w:t>:</w:t>
      </w:r>
    </w:p>
    <w:p w:rsidR="00EC5C6E" w:rsidRDefault="00EC5C6E" w:rsidP="00EC5C6E">
      <w:pPr>
        <w:spacing w:after="0" w:line="240" w:lineRule="auto"/>
        <w:rPr>
          <w:rFonts w:ascii="Arial" w:hAnsi="Arial" w:cs="Arial"/>
          <w:b/>
          <w:u w:val="single"/>
        </w:rPr>
      </w:pPr>
    </w:p>
    <w:p w:rsidR="00EC5C6E" w:rsidRPr="00A728D3" w:rsidRDefault="00EC5C6E" w:rsidP="00A728D3">
      <w:pPr>
        <w:spacing w:after="0" w:line="240" w:lineRule="auto"/>
        <w:rPr>
          <w:rFonts w:ascii="Arial" w:hAnsi="Arial" w:cs="Arial"/>
        </w:rPr>
      </w:pPr>
    </w:p>
    <w:p w:rsidR="0021391F" w:rsidRDefault="005463C7" w:rsidP="00A728D3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Folgende Kundinnen und Kunden sind bei der</w:t>
      </w:r>
      <w:r w:rsidR="0063433A" w:rsidRPr="00A728D3">
        <w:rPr>
          <w:rFonts w:ascii="Arial" w:hAnsi="Arial" w:cs="Arial"/>
        </w:rPr>
        <w:t xml:space="preserve"> Saleno KG </w:t>
      </w:r>
      <w:r>
        <w:rPr>
          <w:rFonts w:ascii="Arial" w:hAnsi="Arial" w:cs="Arial"/>
        </w:rPr>
        <w:t xml:space="preserve">im </w:t>
      </w:r>
      <w:r w:rsidR="003D2B9A">
        <w:rPr>
          <w:rFonts w:ascii="Arial" w:hAnsi="Arial" w:cs="Arial"/>
        </w:rPr>
        <w:t>Zahlungsr</w:t>
      </w:r>
      <w:r>
        <w:rPr>
          <w:rFonts w:ascii="Arial" w:hAnsi="Arial" w:cs="Arial"/>
        </w:rPr>
        <w:t xml:space="preserve">ückstand. </w:t>
      </w:r>
    </w:p>
    <w:p w:rsidR="005463C7" w:rsidRDefault="005463C7" w:rsidP="005463C7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8788" w:type="dxa"/>
        <w:tblInd w:w="534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879"/>
      </w:tblGrid>
      <w:tr w:rsidR="005463C7" w:rsidRPr="005463C7" w:rsidTr="005A6526">
        <w:tc>
          <w:tcPr>
            <w:tcW w:w="2303" w:type="dxa"/>
            <w:shd w:val="clear" w:color="auto" w:fill="008000"/>
          </w:tcPr>
          <w:p w:rsidR="005463C7" w:rsidRPr="005463C7" w:rsidRDefault="005463C7" w:rsidP="005463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463C7">
              <w:rPr>
                <w:rFonts w:ascii="Arial" w:hAnsi="Arial" w:cs="Arial"/>
                <w:b/>
                <w:color w:val="FFFFFF" w:themeColor="background1"/>
              </w:rPr>
              <w:t>Kundin bzw. Kunde</w:t>
            </w:r>
          </w:p>
        </w:tc>
        <w:tc>
          <w:tcPr>
            <w:tcW w:w="2303" w:type="dxa"/>
            <w:shd w:val="clear" w:color="auto" w:fill="008000"/>
          </w:tcPr>
          <w:p w:rsidR="005463C7" w:rsidRPr="005463C7" w:rsidRDefault="005463C7" w:rsidP="005463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463C7">
              <w:rPr>
                <w:rFonts w:ascii="Arial" w:hAnsi="Arial" w:cs="Arial"/>
                <w:b/>
                <w:color w:val="FFFFFF" w:themeColor="background1"/>
              </w:rPr>
              <w:t>im Rückstand seit</w:t>
            </w:r>
          </w:p>
        </w:tc>
        <w:tc>
          <w:tcPr>
            <w:tcW w:w="2303" w:type="dxa"/>
            <w:shd w:val="clear" w:color="auto" w:fill="008000"/>
          </w:tcPr>
          <w:p w:rsidR="005463C7" w:rsidRPr="005463C7" w:rsidRDefault="005463C7" w:rsidP="005463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463C7">
              <w:rPr>
                <w:rFonts w:ascii="Arial" w:hAnsi="Arial" w:cs="Arial"/>
                <w:b/>
                <w:color w:val="FFFFFF" w:themeColor="background1"/>
              </w:rPr>
              <w:t>Betrag</w:t>
            </w:r>
          </w:p>
        </w:tc>
        <w:tc>
          <w:tcPr>
            <w:tcW w:w="1879" w:type="dxa"/>
            <w:shd w:val="clear" w:color="auto" w:fill="008000"/>
          </w:tcPr>
          <w:p w:rsidR="005463C7" w:rsidRPr="005463C7" w:rsidRDefault="005463C7" w:rsidP="005463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463C7">
              <w:rPr>
                <w:rFonts w:ascii="Arial" w:hAnsi="Arial" w:cs="Arial"/>
                <w:b/>
                <w:color w:val="FFFFFF" w:themeColor="background1"/>
              </w:rPr>
              <w:t>Verzugszins</w:t>
            </w:r>
          </w:p>
        </w:tc>
      </w:tr>
      <w:tr w:rsidR="005463C7" w:rsidTr="007B760B">
        <w:trPr>
          <w:trHeight w:val="90"/>
        </w:trPr>
        <w:tc>
          <w:tcPr>
            <w:tcW w:w="2303" w:type="dxa"/>
            <w:vAlign w:val="center"/>
          </w:tcPr>
          <w:p w:rsidR="005463C7" w:rsidRDefault="005463C7" w:rsidP="007B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Maische, Klaus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Monaten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125,54 €</w:t>
            </w:r>
          </w:p>
        </w:tc>
        <w:tc>
          <w:tcPr>
            <w:tcW w:w="1879" w:type="dxa"/>
          </w:tcPr>
          <w:p w:rsidR="005463C7" w:rsidRPr="005A6526" w:rsidRDefault="005463C7" w:rsidP="007B760B">
            <w:pPr>
              <w:spacing w:line="360" w:lineRule="auto"/>
              <w:ind w:right="318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5463C7" w:rsidTr="007B760B">
        <w:tc>
          <w:tcPr>
            <w:tcW w:w="2303" w:type="dxa"/>
            <w:vAlign w:val="center"/>
          </w:tcPr>
          <w:p w:rsidR="005463C7" w:rsidRDefault="005463C7" w:rsidP="007B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Albrecht, Martin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Monaten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1.254,00</w:t>
            </w:r>
            <w:r w:rsidR="003D2B9A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879" w:type="dxa"/>
          </w:tcPr>
          <w:p w:rsidR="005463C7" w:rsidRPr="005A6526" w:rsidRDefault="005463C7" w:rsidP="007B760B">
            <w:pPr>
              <w:spacing w:line="360" w:lineRule="auto"/>
              <w:ind w:right="318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5463C7" w:rsidTr="007B760B">
        <w:tc>
          <w:tcPr>
            <w:tcW w:w="2303" w:type="dxa"/>
            <w:vAlign w:val="center"/>
          </w:tcPr>
          <w:p w:rsidR="005463C7" w:rsidRDefault="005463C7" w:rsidP="007B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Völler, Andreas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Monaten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875,00 €</w:t>
            </w:r>
          </w:p>
        </w:tc>
        <w:tc>
          <w:tcPr>
            <w:tcW w:w="1879" w:type="dxa"/>
          </w:tcPr>
          <w:p w:rsidR="005463C7" w:rsidRPr="005A6526" w:rsidRDefault="005463C7" w:rsidP="007B760B">
            <w:pPr>
              <w:spacing w:line="360" w:lineRule="auto"/>
              <w:ind w:right="318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5463C7" w:rsidTr="007B760B">
        <w:tc>
          <w:tcPr>
            <w:tcW w:w="2303" w:type="dxa"/>
            <w:vAlign w:val="center"/>
          </w:tcPr>
          <w:p w:rsidR="005463C7" w:rsidRDefault="005463C7" w:rsidP="007B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Petridis, Georgios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Monaten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4.560,00 €</w:t>
            </w:r>
          </w:p>
        </w:tc>
        <w:tc>
          <w:tcPr>
            <w:tcW w:w="1879" w:type="dxa"/>
          </w:tcPr>
          <w:p w:rsidR="005463C7" w:rsidRPr="005A6526" w:rsidRDefault="005463C7" w:rsidP="007B760B">
            <w:pPr>
              <w:spacing w:line="360" w:lineRule="auto"/>
              <w:ind w:right="318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5463C7" w:rsidTr="007B760B">
        <w:tc>
          <w:tcPr>
            <w:tcW w:w="2303" w:type="dxa"/>
            <w:vAlign w:val="center"/>
          </w:tcPr>
          <w:p w:rsidR="005463C7" w:rsidRDefault="005463C7" w:rsidP="007B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Gonzales, Mario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Monaten</w:t>
            </w:r>
          </w:p>
        </w:tc>
        <w:tc>
          <w:tcPr>
            <w:tcW w:w="2303" w:type="dxa"/>
            <w:vAlign w:val="center"/>
          </w:tcPr>
          <w:p w:rsidR="005463C7" w:rsidRDefault="005463C7" w:rsidP="007B760B">
            <w:pPr>
              <w:ind w:right="5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7.542,00 €</w:t>
            </w:r>
          </w:p>
        </w:tc>
        <w:tc>
          <w:tcPr>
            <w:tcW w:w="1879" w:type="dxa"/>
          </w:tcPr>
          <w:p w:rsidR="005463C7" w:rsidRPr="005A6526" w:rsidRDefault="005463C7" w:rsidP="007B760B">
            <w:pPr>
              <w:spacing w:line="360" w:lineRule="auto"/>
              <w:ind w:right="318"/>
              <w:jc w:val="right"/>
              <w:rPr>
                <w:rFonts w:ascii="Arial" w:hAnsi="Arial" w:cs="Arial"/>
                <w:color w:val="FF0000"/>
              </w:rPr>
            </w:pPr>
          </w:p>
        </w:tc>
      </w:tr>
    </w:tbl>
    <w:p w:rsidR="005463C7" w:rsidRDefault="005463C7" w:rsidP="005463C7">
      <w:pPr>
        <w:spacing w:after="0" w:line="240" w:lineRule="auto"/>
        <w:rPr>
          <w:rFonts w:ascii="Arial" w:hAnsi="Arial" w:cs="Arial"/>
        </w:rPr>
      </w:pPr>
    </w:p>
    <w:p w:rsidR="005463C7" w:rsidRDefault="00000D9A" w:rsidP="00000D9A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Berechnen Sie</w:t>
      </w:r>
      <w:r>
        <w:rPr>
          <w:rFonts w:ascii="Arial" w:hAnsi="Arial" w:cs="Arial"/>
        </w:rPr>
        <w:t xml:space="preserve"> jeweils die Höhe der </w:t>
      </w:r>
      <w:r>
        <w:rPr>
          <w:rFonts w:ascii="Arial" w:hAnsi="Arial" w:cs="Arial"/>
        </w:rPr>
        <w:t>Verzugszinsen, wenn ein Zinssatz von 12 % zugrunde gelegt wird.</w:t>
      </w:r>
    </w:p>
    <w:p w:rsidR="00000D9A" w:rsidRDefault="00000D9A" w:rsidP="005463C7">
      <w:pPr>
        <w:spacing w:after="0" w:line="240" w:lineRule="auto"/>
        <w:rPr>
          <w:rFonts w:ascii="Arial" w:hAnsi="Arial" w:cs="Arial"/>
        </w:rPr>
      </w:pPr>
    </w:p>
    <w:p w:rsidR="00000D9A" w:rsidRPr="005463C7" w:rsidRDefault="00000D9A" w:rsidP="005463C7">
      <w:pPr>
        <w:spacing w:after="0" w:line="240" w:lineRule="auto"/>
        <w:rPr>
          <w:rFonts w:ascii="Arial" w:hAnsi="Arial" w:cs="Arial"/>
        </w:rPr>
      </w:pPr>
    </w:p>
    <w:p w:rsidR="00000D9A" w:rsidRDefault="003D2B9A" w:rsidP="00A728D3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Die Saleno KG lieferte am 12. Oktober ein Fitnessgerät an Herrn Osmani. Seit </w:t>
      </w:r>
      <w:r w:rsidR="005A6526">
        <w:rPr>
          <w:rFonts w:ascii="Arial" w:hAnsi="Arial" w:cs="Arial"/>
        </w:rPr>
        <w:t>27 Tagen befindet sich Herr Osmani nun im Zahlungsverzug und</w:t>
      </w:r>
      <w:r>
        <w:rPr>
          <w:rFonts w:ascii="Arial" w:hAnsi="Arial" w:cs="Arial"/>
        </w:rPr>
        <w:t xml:space="preserve"> erhält eine Mahnung über den Rechnungsbetrag von 895,00 €. </w:t>
      </w:r>
    </w:p>
    <w:p w:rsidR="00000D9A" w:rsidRDefault="00000D9A" w:rsidP="00000D9A">
      <w:pPr>
        <w:pStyle w:val="Listenabsatz"/>
        <w:spacing w:after="0" w:line="240" w:lineRule="auto"/>
        <w:ind w:left="426"/>
        <w:rPr>
          <w:rFonts w:ascii="Arial" w:hAnsi="Arial" w:cs="Arial"/>
        </w:rPr>
      </w:pPr>
    </w:p>
    <w:p w:rsidR="005463C7" w:rsidRDefault="003D2B9A" w:rsidP="00000D9A">
      <w:pPr>
        <w:pStyle w:val="Listenabsatz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Berechnen Sie die Verzugszinsen bei einem Zinssatz von 11 %.</w:t>
      </w:r>
    </w:p>
    <w:p w:rsidR="005A6526" w:rsidRDefault="005A6526" w:rsidP="005A6526">
      <w:pPr>
        <w:spacing w:after="0" w:line="240" w:lineRule="auto"/>
        <w:rPr>
          <w:rFonts w:ascii="Arial" w:hAnsi="Arial" w:cs="Arial"/>
        </w:rPr>
      </w:pPr>
    </w:p>
    <w:p w:rsidR="00BF457E" w:rsidRPr="005A6526" w:rsidRDefault="00BF457E" w:rsidP="005A6526">
      <w:pPr>
        <w:spacing w:after="0" w:line="240" w:lineRule="auto"/>
        <w:rPr>
          <w:rFonts w:ascii="Arial" w:hAnsi="Arial" w:cs="Arial"/>
        </w:rPr>
      </w:pPr>
    </w:p>
    <w:p w:rsidR="00000D9A" w:rsidRDefault="005A6526" w:rsidP="00A728D3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Folgende Kundinnen befinden sich bei der Saleno KG im Zahlungsverzug: Ursula Meier seit 12. März mit 2.400,00 €, Gertrud Völkel seit 8. Mai mit 950,00 € und Miri Krasniqi seit dem </w:t>
      </w:r>
      <w:r w:rsidR="00BF457E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Juni mit 2.350,00 €. Die Geschäftsbedingungen sehen einen Verzugszins von 9 % vor. </w:t>
      </w:r>
    </w:p>
    <w:p w:rsidR="00000D9A" w:rsidRDefault="00000D9A" w:rsidP="00000D9A">
      <w:pPr>
        <w:pStyle w:val="Listenabsatz"/>
        <w:spacing w:after="0" w:line="240" w:lineRule="auto"/>
        <w:ind w:left="426"/>
        <w:rPr>
          <w:rFonts w:ascii="Arial" w:hAnsi="Arial" w:cs="Arial"/>
        </w:rPr>
      </w:pPr>
    </w:p>
    <w:p w:rsidR="005A6526" w:rsidRDefault="005A6526" w:rsidP="00000D9A">
      <w:pPr>
        <w:pStyle w:val="Listenabsatz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Ermitteln Sie </w:t>
      </w:r>
      <w:bookmarkStart w:id="0" w:name="_GoBack"/>
      <w:bookmarkEnd w:id="0"/>
      <w:r>
        <w:rPr>
          <w:rFonts w:ascii="Arial" w:hAnsi="Arial" w:cs="Arial"/>
        </w:rPr>
        <w:t>die Verzugszinsen, die bei diesen drei Personen am 1. Juli</w:t>
      </w:r>
      <w:r w:rsidR="00BF457E">
        <w:rPr>
          <w:rFonts w:ascii="Arial" w:hAnsi="Arial" w:cs="Arial"/>
        </w:rPr>
        <w:t xml:space="preserve"> desselben Jahres</w:t>
      </w:r>
      <w:r>
        <w:rPr>
          <w:rFonts w:ascii="Arial" w:hAnsi="Arial" w:cs="Arial"/>
        </w:rPr>
        <w:t xml:space="preserve"> anfallen.</w:t>
      </w:r>
    </w:p>
    <w:p w:rsidR="005A6526" w:rsidRDefault="005A6526" w:rsidP="005A6526">
      <w:pPr>
        <w:pStyle w:val="Listenabsatz"/>
        <w:rPr>
          <w:rFonts w:ascii="Arial" w:hAnsi="Arial" w:cs="Arial"/>
        </w:rPr>
      </w:pPr>
    </w:p>
    <w:p w:rsidR="0080024F" w:rsidRPr="005A6526" w:rsidRDefault="0080024F" w:rsidP="005A6526">
      <w:pPr>
        <w:pStyle w:val="Listenabsatz"/>
        <w:rPr>
          <w:rFonts w:ascii="Arial" w:hAnsi="Arial" w:cs="Arial"/>
        </w:rPr>
      </w:pPr>
    </w:p>
    <w:p w:rsidR="005A6526" w:rsidRDefault="005A6526" w:rsidP="005A6526">
      <w:pPr>
        <w:pStyle w:val="Listenabsatz"/>
        <w:spacing w:after="0" w:line="240" w:lineRule="auto"/>
        <w:ind w:left="426"/>
        <w:rPr>
          <w:rFonts w:ascii="Arial" w:hAnsi="Arial" w:cs="Arial"/>
        </w:rPr>
      </w:pPr>
    </w:p>
    <w:p w:rsidR="005463C7" w:rsidRPr="005463C7" w:rsidRDefault="005463C7" w:rsidP="005463C7">
      <w:pPr>
        <w:spacing w:after="0" w:line="240" w:lineRule="auto"/>
        <w:rPr>
          <w:rFonts w:ascii="Arial" w:hAnsi="Arial" w:cs="Arial"/>
        </w:rPr>
      </w:pPr>
    </w:p>
    <w:sectPr w:rsidR="005463C7" w:rsidRPr="005463C7" w:rsidSect="00D931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C2" w:rsidRDefault="006466C2" w:rsidP="003D2B9A">
      <w:pPr>
        <w:spacing w:after="0" w:line="240" w:lineRule="auto"/>
      </w:pPr>
      <w:r>
        <w:separator/>
      </w:r>
    </w:p>
  </w:endnote>
  <w:endnote w:type="continuationSeparator" w:id="0">
    <w:p w:rsidR="006466C2" w:rsidRDefault="006466C2" w:rsidP="003D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Meiryo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C2" w:rsidRDefault="006466C2" w:rsidP="003D2B9A">
      <w:pPr>
        <w:spacing w:after="0" w:line="240" w:lineRule="auto"/>
      </w:pPr>
      <w:r>
        <w:separator/>
      </w:r>
    </w:p>
  </w:footnote>
  <w:footnote w:type="continuationSeparator" w:id="0">
    <w:p w:rsidR="006466C2" w:rsidRDefault="006466C2" w:rsidP="003D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C34"/>
    <w:multiLevelType w:val="hybridMultilevel"/>
    <w:tmpl w:val="C8FE5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C65BA"/>
    <w:multiLevelType w:val="hybridMultilevel"/>
    <w:tmpl w:val="C9E61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D00C3"/>
    <w:multiLevelType w:val="hybridMultilevel"/>
    <w:tmpl w:val="4CDE75F0"/>
    <w:lvl w:ilvl="0" w:tplc="852E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824"/>
    <w:rsid w:val="00000D9A"/>
    <w:rsid w:val="00023934"/>
    <w:rsid w:val="00025578"/>
    <w:rsid w:val="00111097"/>
    <w:rsid w:val="001466C5"/>
    <w:rsid w:val="001650BF"/>
    <w:rsid w:val="001C01B2"/>
    <w:rsid w:val="001C728C"/>
    <w:rsid w:val="002122CB"/>
    <w:rsid w:val="0021391F"/>
    <w:rsid w:val="002B7B29"/>
    <w:rsid w:val="002C1259"/>
    <w:rsid w:val="002D510C"/>
    <w:rsid w:val="002E65F8"/>
    <w:rsid w:val="0033768B"/>
    <w:rsid w:val="003D2B9A"/>
    <w:rsid w:val="00511810"/>
    <w:rsid w:val="005358F6"/>
    <w:rsid w:val="00536662"/>
    <w:rsid w:val="005463C7"/>
    <w:rsid w:val="005A2D63"/>
    <w:rsid w:val="005A6526"/>
    <w:rsid w:val="00607106"/>
    <w:rsid w:val="0063433A"/>
    <w:rsid w:val="006466C2"/>
    <w:rsid w:val="007152D2"/>
    <w:rsid w:val="007B760B"/>
    <w:rsid w:val="0080024F"/>
    <w:rsid w:val="00805006"/>
    <w:rsid w:val="008C594C"/>
    <w:rsid w:val="008D7C9F"/>
    <w:rsid w:val="008E04C8"/>
    <w:rsid w:val="008E422C"/>
    <w:rsid w:val="009130C0"/>
    <w:rsid w:val="00931FFB"/>
    <w:rsid w:val="00951C11"/>
    <w:rsid w:val="009D260F"/>
    <w:rsid w:val="009D2F46"/>
    <w:rsid w:val="00A61CC3"/>
    <w:rsid w:val="00A728D3"/>
    <w:rsid w:val="00A961BE"/>
    <w:rsid w:val="00AE0D24"/>
    <w:rsid w:val="00AE717D"/>
    <w:rsid w:val="00B40E72"/>
    <w:rsid w:val="00B425FF"/>
    <w:rsid w:val="00B63768"/>
    <w:rsid w:val="00BF3D64"/>
    <w:rsid w:val="00BF457E"/>
    <w:rsid w:val="00C06CF4"/>
    <w:rsid w:val="00C55733"/>
    <w:rsid w:val="00D16431"/>
    <w:rsid w:val="00D70001"/>
    <w:rsid w:val="00D931FF"/>
    <w:rsid w:val="00D93CA2"/>
    <w:rsid w:val="00E07EE9"/>
    <w:rsid w:val="00E66824"/>
    <w:rsid w:val="00EC5C6E"/>
    <w:rsid w:val="00F51DD0"/>
    <w:rsid w:val="00F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EC1EC0"/>
  <w15:docId w15:val="{6AD9D410-2E26-4332-9A79-17887C8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31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68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17D"/>
    <w:rPr>
      <w:rFonts w:ascii="Tahoma" w:hAnsi="Tahoma" w:cs="Tahoma"/>
      <w:sz w:val="16"/>
      <w:szCs w:val="16"/>
    </w:rPr>
  </w:style>
  <w:style w:type="character" w:customStyle="1" w:styleId="labelcontent">
    <w:name w:val="label_content"/>
    <w:basedOn w:val="Absatz-Standardschriftart"/>
    <w:rsid w:val="0033768B"/>
  </w:style>
  <w:style w:type="paragraph" w:styleId="StandardWeb">
    <w:name w:val="Normal (Web)"/>
    <w:basedOn w:val="Standard"/>
    <w:uiPriority w:val="99"/>
    <w:unhideWhenUsed/>
    <w:rsid w:val="00C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55733"/>
    <w:rPr>
      <w:b/>
      <w:bCs/>
    </w:rPr>
  </w:style>
  <w:style w:type="table" w:styleId="Tabellenraster">
    <w:name w:val="Table Grid"/>
    <w:basedOn w:val="NormaleTabelle"/>
    <w:uiPriority w:val="59"/>
    <w:rsid w:val="0054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D2B9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D2B9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D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2023-05-10T09:28:00Z</dcterms:created>
  <dcterms:modified xsi:type="dcterms:W3CDTF">2023-05-10T09:28:00Z</dcterms:modified>
</cp:coreProperties>
</file>